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560"/>
        <w:gridCol w:w="5811"/>
        <w:gridCol w:w="1123"/>
      </w:tblGrid>
      <w:tr w:rsidR="003A369F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bookmarkStart w:id="0" w:name="_GoBack"/>
            <w:bookmarkEnd w:id="0"/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3E0D34">
              <w:t xml:space="preserve"> </w:t>
            </w:r>
            <w:r w:rsidR="003E0D34" w:rsidRPr="003E0D34">
              <w:rPr>
                <w:color w:val="FF0000"/>
              </w:rPr>
              <w:t>DERECHO PÚBLICO?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Pr="003E0D34" w:rsidRDefault="003A6A2C">
            <w:pPr>
              <w:rPr>
                <w:color w:val="FF0000"/>
              </w:rPr>
            </w:pPr>
            <w:r w:rsidRPr="003E0D34">
              <w:rPr>
                <w:color w:val="FF0000"/>
              </w:rPr>
              <w:t>24</w:t>
            </w:r>
            <w:r w:rsidR="003E0D34">
              <w:rPr>
                <w:color w:val="FF0000"/>
              </w:rPr>
              <w:t>?</w:t>
            </w:r>
          </w:p>
        </w:tc>
      </w:tr>
      <w:tr w:rsidR="003A369F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F19DB" w:rsidRPr="005641CC" w:rsidRDefault="00BF19DB" w:rsidP="001D7F79">
            <w:pPr>
              <w:rPr>
                <w:rFonts w:cstheme="majorHAnsi"/>
              </w:rPr>
            </w:pPr>
            <w:r w:rsidRPr="005641CC">
              <w:rPr>
                <w:rFonts w:cstheme="majorHAnsi"/>
              </w:rPr>
              <w:t>Profesor Ayudante Doctor.</w:t>
            </w:r>
          </w:p>
          <w:p w:rsidR="00CA49BF" w:rsidRPr="005641CC" w:rsidRDefault="00CA49BF" w:rsidP="001D7F79">
            <w:pPr>
              <w:rPr>
                <w:rFonts w:cstheme="majorHAnsi"/>
              </w:rPr>
            </w:pPr>
          </w:p>
          <w:p w:rsidR="00BF19DB" w:rsidRPr="005641CC" w:rsidRDefault="00BF19DB" w:rsidP="00CA49BF">
            <w:pPr>
              <w:jc w:val="both"/>
              <w:rPr>
                <w:rFonts w:cstheme="majorHAnsi"/>
                <w:bCs/>
              </w:rPr>
            </w:pPr>
            <w:r w:rsidRPr="005641CC">
              <w:rPr>
                <w:rFonts w:cstheme="majorHAnsi"/>
                <w:bCs/>
              </w:rPr>
              <w:t>Exp</w:t>
            </w:r>
            <w:r w:rsidR="005641CC">
              <w:rPr>
                <w:rFonts w:cstheme="majorHAnsi"/>
                <w:bCs/>
              </w:rPr>
              <w:t>erto en Derecho Penal, Derecho P</w:t>
            </w:r>
            <w:r w:rsidRPr="005641CC">
              <w:rPr>
                <w:rFonts w:cstheme="majorHAnsi"/>
                <w:bCs/>
              </w:rPr>
              <w:t>en</w:t>
            </w:r>
            <w:r w:rsidR="005641CC">
              <w:rPr>
                <w:rFonts w:cstheme="majorHAnsi"/>
                <w:bCs/>
              </w:rPr>
              <w:t>al Internacional y UE, Derecho P</w:t>
            </w:r>
            <w:r w:rsidRPr="005641CC">
              <w:rPr>
                <w:rFonts w:cstheme="majorHAnsi"/>
                <w:bCs/>
              </w:rPr>
              <w:t>enal Comparado</w:t>
            </w:r>
          </w:p>
          <w:p w:rsidR="005641CC" w:rsidRPr="005641CC" w:rsidRDefault="005641CC" w:rsidP="00CA49BF">
            <w:pPr>
              <w:jc w:val="both"/>
              <w:rPr>
                <w:rFonts w:cstheme="majorHAnsi"/>
                <w:bCs/>
              </w:rPr>
            </w:pPr>
          </w:p>
          <w:p w:rsidR="005641CC" w:rsidRPr="007E37E4" w:rsidRDefault="00BF19DB" w:rsidP="00CA49BF">
            <w:pPr>
              <w:jc w:val="both"/>
              <w:rPr>
                <w:rFonts w:cstheme="majorHAnsi"/>
                <w:bCs/>
                <w:u w:val="single"/>
              </w:rPr>
            </w:pPr>
            <w:r w:rsidRPr="007E37E4">
              <w:rPr>
                <w:rFonts w:cstheme="majorHAnsi"/>
                <w:bCs/>
                <w:u w:val="single"/>
              </w:rPr>
              <w:t>Experiencia investigadora</w:t>
            </w:r>
            <w:r w:rsidR="005641CC" w:rsidRPr="007E37E4">
              <w:rPr>
                <w:rFonts w:cstheme="majorHAnsi"/>
                <w:bCs/>
                <w:u w:val="single"/>
              </w:rPr>
              <w:t xml:space="preserve"> (desde 2001-)</w:t>
            </w:r>
          </w:p>
          <w:p w:rsidR="00BF19DB" w:rsidRPr="005641CC" w:rsidRDefault="00BF19DB" w:rsidP="00CA49BF">
            <w:pPr>
              <w:jc w:val="both"/>
              <w:rPr>
                <w:rFonts w:cstheme="majorHAnsi"/>
                <w:bCs/>
              </w:rPr>
            </w:pPr>
          </w:p>
          <w:p w:rsidR="005641CC" w:rsidRPr="005641CC" w:rsidRDefault="005641CC" w:rsidP="005641CC">
            <w:pPr>
              <w:jc w:val="both"/>
              <w:rPr>
                <w:rFonts w:cstheme="majorHAnsi"/>
                <w:bCs/>
              </w:rPr>
            </w:pPr>
            <w:r w:rsidRPr="00AB2EA0">
              <w:rPr>
                <w:rFonts w:cstheme="majorHAnsi"/>
                <w:bCs/>
                <w:u w:val="single"/>
              </w:rPr>
              <w:t>Visiting researcher:</w:t>
            </w:r>
            <w:r w:rsidRPr="005641CC">
              <w:rPr>
                <w:rFonts w:cstheme="majorHAnsi"/>
                <w:bCs/>
              </w:rPr>
              <w:t xml:space="preserve"> </w:t>
            </w:r>
            <w:r w:rsidRPr="005641CC">
              <w:rPr>
                <w:rFonts w:cstheme="majorHAnsi"/>
                <w:szCs w:val="20"/>
                <w:lang w:val="es-ES_tradnl" w:eastAsia="es-ES_tradnl"/>
              </w:rPr>
              <w:t xml:space="preserve">European Law Research Center, Harvard Law School; Institut fur Kriminologie und Wirtschaftsstrafrecht, Albert-Ludwig Universitat; Department of Law, European University Institute, Florencia; New York University Law School Library </w:t>
            </w:r>
          </w:p>
          <w:p w:rsidR="005641CC" w:rsidRPr="005641CC" w:rsidRDefault="005641CC" w:rsidP="00CA49BF">
            <w:pPr>
              <w:jc w:val="both"/>
              <w:rPr>
                <w:rFonts w:cstheme="majorHAnsi"/>
                <w:bCs/>
              </w:rPr>
            </w:pPr>
          </w:p>
          <w:p w:rsidR="005641CC" w:rsidRPr="005641CC" w:rsidRDefault="005641CC" w:rsidP="00CA49BF">
            <w:pPr>
              <w:jc w:val="both"/>
              <w:rPr>
                <w:rFonts w:cstheme="majorHAnsi"/>
                <w:bCs/>
              </w:rPr>
            </w:pPr>
            <w:r w:rsidRPr="00AB2EA0">
              <w:rPr>
                <w:rFonts w:cstheme="majorHAnsi"/>
                <w:bCs/>
                <w:u w:val="single"/>
              </w:rPr>
              <w:t>Postdoctoral researcher:</w:t>
            </w:r>
            <w:r w:rsidRPr="005641CC">
              <w:rPr>
                <w:rFonts w:cstheme="majorHAnsi"/>
                <w:bCs/>
              </w:rPr>
              <w:t xml:space="preserve"> </w:t>
            </w:r>
            <w:r w:rsidR="00AB2EA0">
              <w:rPr>
                <w:rFonts w:cstheme="majorHAnsi"/>
                <w:szCs w:val="20"/>
                <w:lang w:val="es-ES_tradnl" w:eastAsia="es-ES_tradnl"/>
              </w:rPr>
              <w:t>Hauser Global Fellow,</w:t>
            </w:r>
            <w:r w:rsidRPr="005641CC">
              <w:rPr>
                <w:rFonts w:cstheme="majorHAnsi"/>
                <w:szCs w:val="20"/>
                <w:lang w:val="es-ES_tradnl" w:eastAsia="es-ES_tradnl"/>
              </w:rPr>
              <w:t xml:space="preserve"> Center for Human R</w:t>
            </w:r>
            <w:r w:rsidR="00AB2EA0">
              <w:rPr>
                <w:rFonts w:cstheme="majorHAnsi"/>
                <w:szCs w:val="20"/>
                <w:lang w:val="es-ES_tradnl" w:eastAsia="es-ES_tradnl"/>
              </w:rPr>
              <w:t xml:space="preserve">ights and Global Justice, </w:t>
            </w:r>
            <w:r w:rsidRPr="005641CC">
              <w:rPr>
                <w:rFonts w:cstheme="majorHAnsi"/>
                <w:szCs w:val="20"/>
                <w:lang w:val="es-ES_tradnl" w:eastAsia="es-ES_tradnl"/>
              </w:rPr>
              <w:t xml:space="preserve">New York University </w:t>
            </w:r>
          </w:p>
          <w:p w:rsidR="005641CC" w:rsidRPr="005641CC" w:rsidRDefault="005641CC" w:rsidP="00CA49BF">
            <w:pPr>
              <w:jc w:val="both"/>
              <w:rPr>
                <w:rFonts w:cstheme="majorHAnsi"/>
                <w:bCs/>
              </w:rPr>
            </w:pPr>
          </w:p>
          <w:p w:rsidR="005641CC" w:rsidRPr="005641CC" w:rsidRDefault="005641CC" w:rsidP="00CA49BF">
            <w:pPr>
              <w:jc w:val="both"/>
              <w:rPr>
                <w:rFonts w:cstheme="majorHAnsi"/>
                <w:bCs/>
              </w:rPr>
            </w:pPr>
            <w:r w:rsidRPr="00AB2EA0">
              <w:rPr>
                <w:rFonts w:cstheme="majorHAnsi"/>
                <w:bCs/>
                <w:u w:val="single"/>
              </w:rPr>
              <w:t>Visiting scholar:</w:t>
            </w:r>
            <w:r w:rsidRPr="005641CC">
              <w:rPr>
                <w:rFonts w:cstheme="majorHAnsi"/>
                <w:bCs/>
              </w:rPr>
              <w:t xml:space="preserve"> </w:t>
            </w:r>
            <w:r w:rsidRPr="005641CC">
              <w:rPr>
                <w:rFonts w:cstheme="majorHAnsi"/>
                <w:szCs w:val="20"/>
                <w:lang w:val="es-ES_tradnl" w:eastAsia="es-ES_tradnl"/>
              </w:rPr>
              <w:t>Human Rights Institute, De Paul University Chicago</w:t>
            </w:r>
            <w:r w:rsidRPr="005641CC">
              <w:rPr>
                <w:rFonts w:cstheme="majorHAnsi"/>
                <w:bCs/>
              </w:rPr>
              <w:t xml:space="preserve"> y Centro de Estudios Políticos y Constitucionales</w:t>
            </w:r>
          </w:p>
          <w:p w:rsidR="00BF19DB" w:rsidRPr="005641CC" w:rsidRDefault="00BF19DB" w:rsidP="00CA49BF">
            <w:pPr>
              <w:jc w:val="both"/>
              <w:rPr>
                <w:rFonts w:cstheme="majorHAnsi"/>
                <w:bCs/>
              </w:rPr>
            </w:pPr>
          </w:p>
          <w:p w:rsidR="00A67A9F" w:rsidRPr="007E37E4" w:rsidRDefault="00BF19DB" w:rsidP="00CA49BF">
            <w:pPr>
              <w:jc w:val="both"/>
              <w:rPr>
                <w:rFonts w:cstheme="majorHAnsi"/>
                <w:bCs/>
                <w:u w:val="single"/>
              </w:rPr>
            </w:pPr>
            <w:r w:rsidRPr="007E37E4">
              <w:rPr>
                <w:rFonts w:cstheme="majorHAnsi"/>
                <w:bCs/>
                <w:u w:val="single"/>
              </w:rPr>
              <w:t>Experiencia Docente</w:t>
            </w:r>
            <w:r w:rsidR="00A67A9F" w:rsidRPr="007E37E4">
              <w:rPr>
                <w:rFonts w:cstheme="majorHAnsi"/>
                <w:bCs/>
                <w:u w:val="single"/>
              </w:rPr>
              <w:t xml:space="preserve"> (Desde 2009-</w:t>
            </w:r>
            <w:r w:rsidR="005641CC" w:rsidRPr="007E37E4">
              <w:rPr>
                <w:rFonts w:cstheme="majorHAnsi"/>
                <w:bCs/>
                <w:u w:val="single"/>
              </w:rPr>
              <w:t xml:space="preserve"> )</w:t>
            </w:r>
          </w:p>
          <w:p w:rsidR="00A67A9F" w:rsidRPr="00A67A9F" w:rsidRDefault="00A67A9F" w:rsidP="00CA49BF">
            <w:pPr>
              <w:jc w:val="both"/>
              <w:rPr>
                <w:bCs/>
              </w:rPr>
            </w:pPr>
          </w:p>
          <w:p w:rsidR="00BF19DB" w:rsidRPr="00A67A9F" w:rsidRDefault="00A67A9F" w:rsidP="00CA49BF">
            <w:pPr>
              <w:jc w:val="both"/>
              <w:rPr>
                <w:bCs/>
                <w:u w:val="single"/>
              </w:rPr>
            </w:pPr>
            <w:r w:rsidRPr="00A67A9F">
              <w:rPr>
                <w:bCs/>
                <w:u w:val="single"/>
              </w:rPr>
              <w:t>Presencial</w:t>
            </w:r>
          </w:p>
          <w:p w:rsidR="00BF19DB" w:rsidRPr="00A67A9F" w:rsidRDefault="00BF19DB" w:rsidP="00CA49BF">
            <w:pPr>
              <w:jc w:val="both"/>
              <w:rPr>
                <w:b/>
                <w:bCs/>
              </w:rPr>
            </w:pPr>
          </w:p>
          <w:p w:rsidR="00A67A9F" w:rsidRPr="00A67A9F" w:rsidRDefault="00A67A9F" w:rsidP="00CA49BF">
            <w:pPr>
              <w:jc w:val="both"/>
              <w:rPr>
                <w:bCs/>
              </w:rPr>
            </w:pPr>
            <w:r w:rsidRPr="00A67A9F">
              <w:rPr>
                <w:bCs/>
              </w:rPr>
              <w:t>Docencia en Grado: Derecho penal general y especial; Criminal Law I &amp; II, International Criminal Law, Comparative Criminal Law</w:t>
            </w:r>
          </w:p>
          <w:p w:rsidR="00A67A9F" w:rsidRPr="00A67A9F" w:rsidRDefault="00A67A9F" w:rsidP="00CA49BF">
            <w:pPr>
              <w:jc w:val="both"/>
              <w:rPr>
                <w:bCs/>
              </w:rPr>
            </w:pPr>
          </w:p>
          <w:p w:rsidR="00A67A9F" w:rsidRPr="00A67A9F" w:rsidRDefault="00A67A9F" w:rsidP="00CA49BF">
            <w:pPr>
              <w:jc w:val="both"/>
              <w:rPr>
                <w:bCs/>
              </w:rPr>
            </w:pPr>
            <w:r w:rsidRPr="00A67A9F">
              <w:rPr>
                <w:bCs/>
              </w:rPr>
              <w:t xml:space="preserve">Docencia en Licenciatura: Derecho Penal general y especial, Derecho penal internacional y de la UE. </w:t>
            </w:r>
          </w:p>
          <w:p w:rsidR="00A67A9F" w:rsidRPr="00A67A9F" w:rsidRDefault="00A67A9F" w:rsidP="00CA49BF">
            <w:pPr>
              <w:jc w:val="both"/>
              <w:rPr>
                <w:bCs/>
              </w:rPr>
            </w:pPr>
          </w:p>
          <w:p w:rsidR="00A67A9F" w:rsidRPr="00A67A9F" w:rsidRDefault="00A67A9F" w:rsidP="00CA49BF">
            <w:pPr>
              <w:jc w:val="both"/>
              <w:rPr>
                <w:bCs/>
              </w:rPr>
            </w:pPr>
            <w:r w:rsidRPr="00A67A9F">
              <w:rPr>
                <w:bCs/>
              </w:rPr>
              <w:t xml:space="preserve">Docencia en Máster: Asesoría Jurídico Penal, Máster de Acceso a la Abogacía, </w:t>
            </w:r>
            <w:r w:rsidRPr="00A67A9F">
              <w:rPr>
                <w:i/>
              </w:rPr>
              <w:t>Cross border corporate and financial crimes</w:t>
            </w:r>
            <w:r w:rsidRPr="00A67A9F">
              <w:t xml:space="preserve">, </w:t>
            </w:r>
            <w:r w:rsidRPr="00A67A9F">
              <w:rPr>
                <w:i/>
              </w:rPr>
              <w:t>Master in International and European Business Law</w:t>
            </w:r>
          </w:p>
          <w:p w:rsidR="00A67A9F" w:rsidRPr="00A67A9F" w:rsidRDefault="00A67A9F" w:rsidP="00CA49BF">
            <w:pPr>
              <w:jc w:val="both"/>
              <w:rPr>
                <w:bCs/>
              </w:rPr>
            </w:pPr>
          </w:p>
          <w:p w:rsidR="00A67A9F" w:rsidRPr="00A67A9F" w:rsidRDefault="00A67A9F" w:rsidP="00CA49BF">
            <w:pPr>
              <w:jc w:val="both"/>
              <w:rPr>
                <w:bCs/>
              </w:rPr>
            </w:pPr>
            <w:r w:rsidRPr="00A67A9F">
              <w:rPr>
                <w:bCs/>
              </w:rPr>
              <w:t xml:space="preserve">Docencia en Doctorado: </w:t>
            </w:r>
            <w:r w:rsidR="005641CC">
              <w:rPr>
                <w:bCs/>
              </w:rPr>
              <w:t>Derecho penal Internacional y cooperación jurídica internacional. Programa Doctorado en Ciencias Jurídicas</w:t>
            </w:r>
          </w:p>
          <w:p w:rsidR="00A67A9F" w:rsidRPr="00A67A9F" w:rsidRDefault="00A67A9F" w:rsidP="00CA49BF">
            <w:pPr>
              <w:jc w:val="both"/>
              <w:rPr>
                <w:b/>
                <w:bCs/>
              </w:rPr>
            </w:pPr>
          </w:p>
          <w:p w:rsidR="00A67A9F" w:rsidRPr="007E37E4" w:rsidRDefault="007E37E4" w:rsidP="00CA49BF">
            <w:pPr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Docencia </w:t>
            </w:r>
            <w:r w:rsidR="00A67A9F" w:rsidRPr="007E37E4">
              <w:rPr>
                <w:bCs/>
                <w:u w:val="single"/>
              </w:rPr>
              <w:t>Online</w:t>
            </w:r>
          </w:p>
          <w:p w:rsidR="00A67A9F" w:rsidRPr="00A67A9F" w:rsidRDefault="00A67A9F" w:rsidP="00CA49BF">
            <w:pPr>
              <w:jc w:val="both"/>
              <w:rPr>
                <w:b/>
                <w:bCs/>
                <w:u w:val="single"/>
              </w:rPr>
            </w:pPr>
          </w:p>
          <w:p w:rsidR="00A67A9F" w:rsidRPr="00A67A9F" w:rsidRDefault="00A67A9F" w:rsidP="00CA49BF">
            <w:pPr>
              <w:jc w:val="both"/>
              <w:rPr>
                <w:bCs/>
              </w:rPr>
            </w:pPr>
            <w:r w:rsidRPr="00A67A9F">
              <w:rPr>
                <w:bCs/>
              </w:rPr>
              <w:t>2015-2017. Derecho Penal General, Derecho Penal Parte Especial, Asesoría Jurídico penal, Máster de Acceso a la Abogacía</w:t>
            </w:r>
          </w:p>
          <w:p w:rsidR="00CA49BF" w:rsidRPr="00A67A9F" w:rsidRDefault="00CA49BF" w:rsidP="00CA49BF">
            <w:pPr>
              <w:jc w:val="both"/>
              <w:rPr>
                <w:bCs/>
              </w:rPr>
            </w:pPr>
          </w:p>
          <w:p w:rsidR="00CA49BF" w:rsidRPr="00A67A9F" w:rsidRDefault="00BF19DB" w:rsidP="00CA49BF">
            <w:pPr>
              <w:jc w:val="both"/>
              <w:rPr>
                <w:bCs/>
              </w:rPr>
            </w:pPr>
            <w:r w:rsidRPr="00A67A9F">
              <w:rPr>
                <w:bCs/>
              </w:rPr>
              <w:t xml:space="preserve">Se estima una necesidad de </w:t>
            </w:r>
            <w:r w:rsidRPr="00A67A9F">
              <w:rPr>
                <w:bCs/>
                <w:color w:val="FF0000"/>
              </w:rPr>
              <w:t xml:space="preserve">X </w:t>
            </w:r>
            <w:r w:rsidRPr="00A67A9F">
              <w:rPr>
                <w:bCs/>
              </w:rPr>
              <w:t xml:space="preserve">profesores </w:t>
            </w:r>
          </w:p>
          <w:p w:rsidR="001D7F79" w:rsidRDefault="001D7F79" w:rsidP="001D7F79"/>
        </w:tc>
      </w:tr>
      <w:tr w:rsidR="00F77EB7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E114F4">
              <w:t xml:space="preserve"> Derecho Penal</w:t>
            </w:r>
            <w:r w:rsidR="00567709">
              <w:t>, Penal</w:t>
            </w:r>
            <w:r w:rsidR="00E114F4">
              <w:t xml:space="preserve"> Comparado e Internacional</w:t>
            </w:r>
          </w:p>
          <w:p w:rsidR="00E114F4" w:rsidRDefault="001D7F79">
            <w:r>
              <w:t>2.</w:t>
            </w:r>
            <w:r w:rsidR="00E114F4">
              <w:t xml:space="preserve"> Derecho Penal de la UE</w:t>
            </w:r>
          </w:p>
          <w:p w:rsidR="001D7F79" w:rsidRDefault="00E114F4">
            <w:r>
              <w:t>3. Persecución extraterritorial de delitos</w:t>
            </w:r>
          </w:p>
          <w:p w:rsidR="001D7F79" w:rsidRDefault="001D7F79">
            <w:r>
              <w:t>3.</w:t>
            </w:r>
            <w:r w:rsidR="00E114F4">
              <w:t xml:space="preserve"> Conflictos de Jurisdicción</w:t>
            </w:r>
            <w:r w:rsidR="00CA49BF">
              <w:t xml:space="preserve"> penal</w:t>
            </w:r>
          </w:p>
          <w:p w:rsidR="001D7F79" w:rsidRDefault="001D7F79">
            <w:r>
              <w:t>4.</w:t>
            </w:r>
            <w:r w:rsidR="00E114F4">
              <w:t xml:space="preserve"> Transposición de Directivas comunitarias y Convenios internacionales</w:t>
            </w:r>
          </w:p>
        </w:tc>
      </w:tr>
      <w:tr w:rsidR="006E5F82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A49BF" w:rsidRPr="00B70274" w:rsidRDefault="00CA49BF" w:rsidP="00CA49BF">
            <w:pPr>
              <w:jc w:val="both"/>
              <w:rPr>
                <w:rFonts w:cs="Times New Roman"/>
                <w:szCs w:val="20"/>
                <w:lang w:val="es-ES_tradnl" w:eastAsia="es-ES_tradnl"/>
              </w:rPr>
            </w:pPr>
            <w:r w:rsidRPr="00B70274">
              <w:rPr>
                <w:rFonts w:cs="Times New Roman"/>
                <w:bCs/>
                <w:szCs w:val="20"/>
                <w:lang w:val="es-ES_tradnl" w:eastAsia="es-ES_tradnl"/>
              </w:rPr>
              <w:t>DER 2016-74872-R</w:t>
            </w:r>
            <w:r w:rsidR="00B70274">
              <w:rPr>
                <w:rFonts w:cs="Times New Roman"/>
                <w:szCs w:val="20"/>
                <w:lang w:val="es-ES_tradnl"/>
              </w:rPr>
              <w:t xml:space="preserve"> </w:t>
            </w:r>
            <w:r w:rsidRPr="00B70274">
              <w:rPr>
                <w:rFonts w:cs="Times New Roman"/>
                <w:i/>
                <w:szCs w:val="20"/>
                <w:lang w:val="es-ES_tradnl"/>
              </w:rPr>
              <w:t>Fiscalización Internacional de las drogas: problemas y soluciones</w:t>
            </w:r>
            <w:r w:rsidR="00B70274" w:rsidRPr="00B70274">
              <w:rPr>
                <w:rFonts w:cs="Times New Roman"/>
                <w:i/>
                <w:szCs w:val="20"/>
                <w:lang w:val="es-ES_tradnl"/>
              </w:rPr>
              <w:t xml:space="preserve">. </w:t>
            </w:r>
            <w:r w:rsidR="00B70274" w:rsidRPr="00B70274">
              <w:rPr>
                <w:rFonts w:cs="Times New Roman"/>
                <w:szCs w:val="20"/>
                <w:lang w:val="es-ES_tradnl"/>
              </w:rPr>
              <w:t>IP:</w:t>
            </w:r>
            <w:r w:rsidRPr="00B70274">
              <w:rPr>
                <w:rFonts w:cs="Times New Roman"/>
                <w:szCs w:val="20"/>
                <w:lang w:val="es-ES_tradnl"/>
              </w:rPr>
              <w:t xml:space="preserve"> Araceli Manjón-Cabeza Olmeda (U</w:t>
            </w:r>
            <w:r w:rsidR="00B70274" w:rsidRPr="00B70274">
              <w:rPr>
                <w:rFonts w:cs="Times New Roman"/>
                <w:szCs w:val="20"/>
                <w:lang w:val="es-ES_tradnl"/>
              </w:rPr>
              <w:t>CM</w:t>
            </w:r>
            <w:r w:rsidRPr="00B70274">
              <w:rPr>
                <w:rFonts w:cs="Times New Roman"/>
                <w:szCs w:val="20"/>
                <w:lang w:val="es-ES_tradnl"/>
              </w:rPr>
              <w:t>)</w:t>
            </w:r>
            <w:r w:rsidRPr="00B70274">
              <w:rPr>
                <w:rFonts w:cs="Times New Roman"/>
                <w:szCs w:val="20"/>
              </w:rPr>
              <w:t xml:space="preserve">. </w:t>
            </w:r>
          </w:p>
          <w:p w:rsidR="00B70274" w:rsidRPr="00B70274" w:rsidRDefault="00B70274" w:rsidP="00CA49BF">
            <w:pPr>
              <w:jc w:val="both"/>
              <w:rPr>
                <w:b/>
              </w:rPr>
            </w:pPr>
          </w:p>
          <w:p w:rsidR="00B70274" w:rsidRPr="00B70274" w:rsidRDefault="00B70274" w:rsidP="00CA49BF">
            <w:pPr>
              <w:jc w:val="both"/>
              <w:rPr>
                <w:b/>
              </w:rPr>
            </w:pPr>
            <w:r w:rsidRPr="00B70274">
              <w:rPr>
                <w:rFonts w:cs="Arial Narrow"/>
                <w:i/>
                <w:szCs w:val="17"/>
                <w:lang w:val="es-ES_tradnl"/>
              </w:rPr>
              <w:t>DER2016-77228-P</w:t>
            </w:r>
            <w:r>
              <w:rPr>
                <w:rFonts w:cs="Arial Narrow"/>
                <w:i/>
                <w:szCs w:val="17"/>
                <w:lang w:val="es-ES_tradnl"/>
              </w:rPr>
              <w:t xml:space="preserve"> </w:t>
            </w:r>
            <w:r w:rsidRPr="00B70274">
              <w:rPr>
                <w:rFonts w:cs="Arial Narrow"/>
                <w:szCs w:val="17"/>
                <w:lang w:val="es-ES_tradnl"/>
              </w:rPr>
              <w:t>Víctimas de delitos: Modelos de actuación integral</w:t>
            </w:r>
            <w:r w:rsidRPr="00B70274">
              <w:rPr>
                <w:rFonts w:cs="Arial Narrow"/>
                <w:i/>
                <w:szCs w:val="17"/>
                <w:lang w:val="es-ES_tradnl"/>
              </w:rPr>
              <w:t xml:space="preserve">, IP María del Mar Carrasco Andrino </w:t>
            </w:r>
            <w:r w:rsidRPr="00B70274">
              <w:rPr>
                <w:rFonts w:cs="Arial Narrow"/>
                <w:szCs w:val="17"/>
                <w:lang w:val="es-ES_tradnl"/>
              </w:rPr>
              <w:t>(Universidad de Alicante)</w:t>
            </w:r>
          </w:p>
          <w:p w:rsidR="00CA49BF" w:rsidRPr="00B70274" w:rsidRDefault="00CA49BF" w:rsidP="00CA49BF">
            <w:pPr>
              <w:jc w:val="both"/>
              <w:rPr>
                <w:b/>
              </w:rPr>
            </w:pPr>
          </w:p>
          <w:p w:rsidR="00CA49BF" w:rsidRPr="00B70274" w:rsidRDefault="00B70274" w:rsidP="00CA49BF">
            <w:pPr>
              <w:jc w:val="both"/>
            </w:pPr>
            <w:r w:rsidRPr="00B70274">
              <w:rPr>
                <w:i/>
              </w:rPr>
              <w:t xml:space="preserve">SEJ.2007-66573 </w:t>
            </w:r>
            <w:r w:rsidR="00CA49BF" w:rsidRPr="00B70274">
              <w:rPr>
                <w:i/>
              </w:rPr>
              <w:t xml:space="preserve">Nuevas reformas sustantivas y procesales en el sistema jurídico penal  </w:t>
            </w:r>
            <w:r w:rsidR="00CA49BF" w:rsidRPr="00B70274">
              <w:t>IP: Luís Rodríguez Ramos (UNED)</w:t>
            </w:r>
          </w:p>
          <w:p w:rsidR="00CA49BF" w:rsidRPr="00B70274" w:rsidRDefault="00CA49BF" w:rsidP="00CA49BF">
            <w:pPr>
              <w:jc w:val="both"/>
            </w:pPr>
          </w:p>
          <w:p w:rsidR="00CA49BF" w:rsidRPr="00B70274" w:rsidRDefault="00B70274" w:rsidP="00CA49BF">
            <w:pPr>
              <w:jc w:val="both"/>
            </w:pPr>
            <w:r w:rsidRPr="00B70274">
              <w:rPr>
                <w:i/>
              </w:rPr>
              <w:t xml:space="preserve">SEJ2004-04504/JURI. </w:t>
            </w:r>
            <w:r w:rsidR="00CA49BF" w:rsidRPr="00B70274">
              <w:rPr>
                <w:i/>
              </w:rPr>
              <w:t>Principios informadores y criterios fundamentales de aplicación de las últimas reformas su</w:t>
            </w:r>
            <w:r w:rsidRPr="00B70274">
              <w:rPr>
                <w:i/>
              </w:rPr>
              <w:t>stantivas, penales y procesales</w:t>
            </w:r>
            <w:r w:rsidR="00CA49BF" w:rsidRPr="00B70274">
              <w:t>, Ministerio de Educación y Ciencia</w:t>
            </w:r>
            <w:r w:rsidRPr="00B70274">
              <w:t xml:space="preserve"> IP: Luís Rodríguez Ramos (UCM)</w:t>
            </w:r>
          </w:p>
          <w:p w:rsidR="00CA49BF" w:rsidRPr="00B70274" w:rsidRDefault="00CA49BF" w:rsidP="00CA49BF">
            <w:pPr>
              <w:jc w:val="both"/>
              <w:rPr>
                <w:b/>
              </w:rPr>
            </w:pPr>
          </w:p>
          <w:p w:rsidR="00CA49BF" w:rsidRPr="007E37E4" w:rsidRDefault="00CA49BF" w:rsidP="00CA49BF">
            <w:pPr>
              <w:jc w:val="both"/>
              <w:rPr>
                <w:u w:val="single"/>
              </w:rPr>
            </w:pPr>
            <w:r w:rsidRPr="007E37E4">
              <w:rPr>
                <w:u w:val="single"/>
              </w:rPr>
              <w:t>Miembro Grupos de Investigación</w:t>
            </w:r>
          </w:p>
          <w:p w:rsidR="00CA49BF" w:rsidRPr="00B70274" w:rsidRDefault="00CA49BF" w:rsidP="00CA49BF">
            <w:pPr>
              <w:jc w:val="both"/>
              <w:rPr>
                <w:b/>
              </w:rPr>
            </w:pPr>
          </w:p>
          <w:p w:rsidR="00CA49BF" w:rsidRPr="007E37E4" w:rsidRDefault="00CA49BF" w:rsidP="00CA49BF">
            <w:pPr>
              <w:jc w:val="both"/>
            </w:pPr>
            <w:r w:rsidRPr="007E37E4">
              <w:t>2013-</w:t>
            </w:r>
            <w:r w:rsidRPr="007E37E4">
              <w:rPr>
                <w:i/>
              </w:rPr>
              <w:t>Problemas actuales del Derecho Penal</w:t>
            </w:r>
            <w:r w:rsidRPr="007E37E4">
              <w:t>, Universidad Carlos III, Madrid. Investigadores responsables: Dr. Francisco Javier Álvarez García y Dra. Carmen Lamarca Pérez</w:t>
            </w:r>
          </w:p>
          <w:p w:rsidR="00CA49BF" w:rsidRPr="007E37E4" w:rsidRDefault="00CA49BF" w:rsidP="00CA49BF">
            <w:pPr>
              <w:jc w:val="both"/>
            </w:pPr>
          </w:p>
          <w:p w:rsidR="00CA49BF" w:rsidRPr="007E37E4" w:rsidRDefault="00CA49BF" w:rsidP="00CA49BF">
            <w:pPr>
              <w:jc w:val="both"/>
            </w:pPr>
            <w:r w:rsidRPr="007E37E4">
              <w:t xml:space="preserve">2011-2016 </w:t>
            </w:r>
            <w:r w:rsidRPr="007E37E4">
              <w:rPr>
                <w:i/>
              </w:rPr>
              <w:t>Derecho penal y Criminología</w:t>
            </w:r>
            <w:r w:rsidRPr="007E37E4">
              <w:t>, Área de Derecho Penal, Universidad Pontificia de Comillas, ICADE, Director: Dr. Manuel Gallego Díaz</w:t>
            </w:r>
          </w:p>
          <w:p w:rsidR="001D7F79" w:rsidRDefault="001D7F79" w:rsidP="006E5F82"/>
        </w:tc>
      </w:tr>
      <w:tr w:rsidR="006E5F82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A0A7B" w:rsidRDefault="004E3233" w:rsidP="004E3233">
            <w:pPr>
              <w:jc w:val="both"/>
              <w:rPr>
                <w:rStyle w:val="body"/>
                <w:rFonts w:eastAsia="Cambria"/>
                <w:iCs/>
                <w:lang w:val="en-GB"/>
              </w:rPr>
            </w:pPr>
            <w:r w:rsidRPr="00B240B5">
              <w:rPr>
                <w:rFonts w:eastAsia="Cambria"/>
              </w:rPr>
              <w:t>“</w:t>
            </w:r>
            <w:r w:rsidR="00B240B5" w:rsidRPr="00B240B5">
              <w:rPr>
                <w:i/>
              </w:rPr>
              <w:t>Reenvíos normativos y límites internacionales en el tráfico ilegal de drogas en los espacios marinos</w:t>
            </w:r>
            <w:r w:rsidRPr="00B240B5">
              <w:rPr>
                <w:rFonts w:eastAsia="Cambria"/>
              </w:rPr>
              <w:t>“</w:t>
            </w:r>
            <w:r w:rsidR="00B240B5" w:rsidRPr="00B240B5">
              <w:rPr>
                <w:rFonts w:eastAsia="Cambria"/>
              </w:rPr>
              <w:t>,</w:t>
            </w:r>
            <w:r w:rsidR="00B240B5">
              <w:rPr>
                <w:rFonts w:eastAsia="Cambria"/>
              </w:rPr>
              <w:t xml:space="preserve"> en prensa; “</w:t>
            </w:r>
            <w:r w:rsidRPr="00B70274">
              <w:rPr>
                <w:rFonts w:eastAsia="Cambria"/>
              </w:rPr>
              <w:t xml:space="preserve">La prisión permanente revisable. Análisis del argumento internacional”, en </w:t>
            </w:r>
            <w:r w:rsidRPr="00B70274">
              <w:rPr>
                <w:rFonts w:eastAsia="Cambria"/>
                <w:i/>
              </w:rPr>
              <w:t>Revista de Derecho Penal y Criminología</w:t>
            </w:r>
            <w:r w:rsidRPr="00B70274">
              <w:rPr>
                <w:rFonts w:eastAsia="Cambria"/>
              </w:rPr>
              <w:t xml:space="preserve"> UNED, 3ª Época 19, 2018, pp. 83-138; “La persecución de los delitos de genocidio, lesa humanidad y crímenes de guerra”, en Álvarez García, F.J., </w:t>
            </w:r>
            <w:r w:rsidRPr="00B70274">
              <w:rPr>
                <w:rFonts w:eastAsia="Cambria"/>
                <w:i/>
              </w:rPr>
              <w:t>Tratado de Derecho penal español. Parte especial. V. Delitos Internacionales</w:t>
            </w:r>
            <w:r w:rsidRPr="00B70274">
              <w:rPr>
                <w:rFonts w:eastAsia="Cambria"/>
              </w:rPr>
              <w:t>, Valencia, Tirant lo blanch, en prensa; "Delitos contra la Corona",</w:t>
            </w:r>
            <w:r w:rsidRPr="00B70274">
              <w:rPr>
                <w:rFonts w:eastAsia="Cambria"/>
                <w:i/>
              </w:rPr>
              <w:t xml:space="preserve"> en Tratado de Derecho penal español. Parte especial. IV. Delitos contra la Constitución</w:t>
            </w:r>
            <w:r w:rsidRPr="00B70274">
              <w:rPr>
                <w:rFonts w:eastAsia="Cambria"/>
              </w:rPr>
              <w:t xml:space="preserve">, Valencia, Tirant lo Blanch, 2016, pp. 93-140; </w:t>
            </w:r>
            <w:r w:rsidRPr="00B70274">
              <w:t xml:space="preserve">“La persecución extraterritorial de los delitos de terrorismo: otra víctima de la “nueva” jurisdicción universal”, en </w:t>
            </w:r>
            <w:r w:rsidRPr="00B70274">
              <w:rPr>
                <w:i/>
              </w:rPr>
              <w:t>Diario La Ley</w:t>
            </w:r>
            <w:r w:rsidRPr="00B70274">
              <w:t xml:space="preserve">, Sección Tribuna núm. </w:t>
            </w:r>
            <w:r w:rsidRPr="00B70274">
              <w:rPr>
                <w:color w:val="222222"/>
                <w:szCs w:val="17"/>
                <w:shd w:val="clear" w:color="auto" w:fill="FFFFFF"/>
                <w:lang w:val="es-ES_tradnl" w:eastAsia="es-ES_tradnl"/>
              </w:rPr>
              <w:t>8561</w:t>
            </w:r>
            <w:r w:rsidRPr="00B70274">
              <w:t xml:space="preserve">, de 15 de junio 2015, pp. 1-13; “Narcobarcos e interpretación de Convenios internacionales. La STS 592/2014, de 24 de julio, </w:t>
            </w:r>
            <w:r w:rsidRPr="00B70274">
              <w:rPr>
                <w:i/>
              </w:rPr>
              <w:t>Diario La Ley</w:t>
            </w:r>
            <w:r w:rsidRPr="00B70274">
              <w:t xml:space="preserve">, nº Sección Tribuna núm. 8427, de 24 de noviembre de 2014, pp. 1-8; “La reforma de la “molesta” Jurisdicción Universal y sus primeras consecuencias”, en </w:t>
            </w:r>
            <w:r w:rsidRPr="00B70274">
              <w:rPr>
                <w:i/>
              </w:rPr>
              <w:t xml:space="preserve">Eunomía Revista en Cultura de la Legalidad </w:t>
            </w:r>
            <w:r w:rsidRPr="00B70274">
              <w:t>núm. 7, septiembre 2014-Febrero 2015, pp. 117-142</w:t>
            </w:r>
            <w:r w:rsidRPr="00B70274">
              <w:rPr>
                <w:rFonts w:eastAsia="Cambria"/>
              </w:rPr>
              <w:t xml:space="preserve">; “Delitos contra la Administración de Justicia de la Corte Penal Internacional”, en Álvarez García, F. J (dir), </w:t>
            </w:r>
            <w:r w:rsidRPr="00B70274">
              <w:rPr>
                <w:rFonts w:eastAsia="Cambria"/>
                <w:i/>
              </w:rPr>
              <w:t>Tratado de Derecho penal español. Parte especial. III. Delitos contra las Administraciones Públicas y de Justicia</w:t>
            </w:r>
            <w:r w:rsidRPr="00B70274">
              <w:rPr>
                <w:rFonts w:eastAsia="Cambria"/>
              </w:rPr>
              <w:t xml:space="preserve">, Valencia, Tirant lo Blanch, 2013, pp. 1323-1363; </w:t>
            </w:r>
            <w:r w:rsidRPr="00B70274">
              <w:rPr>
                <w:rFonts w:eastAsia="Cambria" w:cs="Times"/>
                <w:iCs/>
                <w:lang w:val="en-GB" w:eastAsia="es-ES_tradnl"/>
              </w:rPr>
              <w:t>The African commitment and its impact on the ICC</w:t>
            </w:r>
            <w:r w:rsidRPr="00B70274">
              <w:rPr>
                <w:rFonts w:eastAsia="Cambria" w:cs="Times"/>
                <w:i/>
                <w:iCs/>
                <w:lang w:val="en-GB" w:eastAsia="es-ES_tradnl"/>
              </w:rPr>
              <w:t xml:space="preserve">”, </w:t>
            </w:r>
            <w:r w:rsidRPr="00B70274">
              <w:rPr>
                <w:rFonts w:eastAsia="Cambria" w:cs="Times"/>
                <w:iCs/>
                <w:lang w:val="en-GB" w:eastAsia="es-ES_tradnl"/>
              </w:rPr>
              <w:t>BR</w:t>
            </w:r>
            <w:r w:rsidRPr="00B70274">
              <w:rPr>
                <w:rFonts w:eastAsia="Cambria" w:cs="Times"/>
                <w:i/>
                <w:iCs/>
                <w:lang w:val="en-GB" w:eastAsia="es-ES_tradnl"/>
              </w:rPr>
              <w:t>-</w:t>
            </w:r>
            <w:r w:rsidRPr="00B70274">
              <w:rPr>
                <w:rStyle w:val="Enfasis"/>
                <w:rFonts w:eastAsia="Cambria" w:cs="Arial"/>
                <w:lang w:val="en-GB"/>
              </w:rPr>
              <w:t>Cotton, Deborah H.,</w:t>
            </w:r>
            <w:r w:rsidRPr="00B70274">
              <w:rPr>
                <w:rStyle w:val="Enfasis"/>
                <w:rFonts w:eastAsia="Cambria" w:cs="Arial"/>
                <w:color w:val="000000"/>
                <w:lang w:val="en-GB"/>
              </w:rPr>
              <w:t xml:space="preserve"> Africa rising. A response to the US. Article 98 and the International Criminal Court</w:t>
            </w:r>
            <w:r w:rsidRPr="00B70274">
              <w:rPr>
                <w:rFonts w:eastAsia="Cambria"/>
                <w:lang w:val="en-GB"/>
              </w:rPr>
              <w:t xml:space="preserve">, en </w:t>
            </w:r>
            <w:r w:rsidRPr="00B70274">
              <w:rPr>
                <w:rStyle w:val="body"/>
                <w:rFonts w:eastAsia="Cambria"/>
                <w:i/>
                <w:iCs/>
                <w:lang w:val="en-GB"/>
              </w:rPr>
              <w:t>Eyes on the ICC</w:t>
            </w:r>
            <w:r w:rsidRPr="00B70274">
              <w:rPr>
                <w:rStyle w:val="body"/>
                <w:rFonts w:eastAsia="Cambria"/>
                <w:lang w:val="en-GB"/>
              </w:rPr>
              <w:t xml:space="preserve">, 2012, pp. </w:t>
            </w:r>
            <w:r w:rsidRPr="00B70274">
              <w:rPr>
                <w:rStyle w:val="body"/>
                <w:rFonts w:eastAsia="Cambria"/>
                <w:iCs/>
                <w:lang w:val="en-GB"/>
              </w:rPr>
              <w:t xml:space="preserve">139-141; </w:t>
            </w:r>
            <w:r w:rsidRPr="00B70274">
              <w:rPr>
                <w:rStyle w:val="body"/>
                <w:rFonts w:eastAsia="Cambria"/>
                <w:lang w:val="en-GB"/>
              </w:rPr>
              <w:t xml:space="preserve">Chinchón Álvarez, J., </w:t>
            </w:r>
            <w:r w:rsidRPr="00B70274">
              <w:rPr>
                <w:rStyle w:val="body"/>
                <w:rFonts w:eastAsia="Cambria"/>
                <w:i/>
                <w:iCs/>
                <w:lang w:val="en-GB"/>
              </w:rPr>
              <w:t>International Law and transitional processes to democracy and peace. Towards a model to punish past crimes through Latin American experience</w:t>
            </w:r>
            <w:r w:rsidRPr="00B70274">
              <w:rPr>
                <w:rStyle w:val="body"/>
                <w:rFonts w:eastAsia="Cambria"/>
                <w:lang w:val="en-GB"/>
              </w:rPr>
              <w:t xml:space="preserve">, Madrid, Parthenon 2007, en </w:t>
            </w:r>
            <w:r w:rsidRPr="00B70274">
              <w:rPr>
                <w:rStyle w:val="body"/>
                <w:rFonts w:eastAsia="Cambria"/>
                <w:i/>
                <w:iCs/>
                <w:lang w:val="en-GB"/>
              </w:rPr>
              <w:t>Human Rights Brief</w:t>
            </w:r>
            <w:r w:rsidRPr="00B70274">
              <w:rPr>
                <w:rStyle w:val="body"/>
                <w:rFonts w:eastAsia="Cambria"/>
                <w:iCs/>
                <w:lang w:val="en-GB"/>
              </w:rPr>
              <w:t>, 18, 2, 2011, pp.</w:t>
            </w:r>
            <w:r w:rsidRPr="00B70274">
              <w:rPr>
                <w:rStyle w:val="body"/>
                <w:rFonts w:eastAsia="Cambria"/>
                <w:i/>
                <w:iCs/>
                <w:lang w:val="en-GB"/>
              </w:rPr>
              <w:t xml:space="preserve"> </w:t>
            </w:r>
            <w:r w:rsidRPr="00B70274">
              <w:rPr>
                <w:rStyle w:val="body"/>
                <w:rFonts w:eastAsia="Cambria"/>
                <w:iCs/>
                <w:lang w:val="en-GB"/>
              </w:rPr>
              <w:t>64-65.</w:t>
            </w:r>
          </w:p>
          <w:p w:rsidR="001D7F79" w:rsidRPr="00B70274" w:rsidRDefault="001D7F79" w:rsidP="004E3233">
            <w:pPr>
              <w:jc w:val="both"/>
              <w:rPr>
                <w:rFonts w:eastAsia="Cambria"/>
              </w:rPr>
            </w:pPr>
          </w:p>
        </w:tc>
      </w:tr>
      <w:tr w:rsidR="001D7F79">
        <w:tc>
          <w:tcPr>
            <w:tcW w:w="1560" w:type="dxa"/>
          </w:tcPr>
          <w:p w:rsidR="001D7F79" w:rsidRDefault="001D7F79" w:rsidP="004E3233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4E3233">
            <w:pPr>
              <w:rPr>
                <w:u w:val="single"/>
              </w:rPr>
            </w:pPr>
          </w:p>
          <w:p w:rsidR="001D7F79" w:rsidRDefault="001D7F79" w:rsidP="004E3233">
            <w:pPr>
              <w:rPr>
                <w:u w:val="single"/>
              </w:rPr>
            </w:pPr>
          </w:p>
          <w:p w:rsidR="001D7F79" w:rsidRDefault="001D7F79" w:rsidP="004E3233">
            <w:pPr>
              <w:rPr>
                <w:u w:val="single"/>
              </w:rPr>
            </w:pPr>
          </w:p>
          <w:p w:rsidR="001D7F79" w:rsidRDefault="001D7F79" w:rsidP="004E3233">
            <w:pPr>
              <w:rPr>
                <w:u w:val="single"/>
              </w:rPr>
            </w:pPr>
          </w:p>
          <w:p w:rsidR="001D7F79" w:rsidRDefault="001D7F79" w:rsidP="004E3233">
            <w:pPr>
              <w:rPr>
                <w:u w:val="single"/>
              </w:rPr>
            </w:pPr>
          </w:p>
          <w:p w:rsidR="001D7F79" w:rsidRPr="003A369F" w:rsidRDefault="001D7F79" w:rsidP="004E3233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E114F4" w:rsidRPr="00B70274" w:rsidRDefault="004E3233" w:rsidP="00AB2EA0">
            <w:pPr>
              <w:jc w:val="both"/>
            </w:pPr>
            <w:r w:rsidRPr="00B70274">
              <w:t>Profesora de Derechos Penal, Penal Internacional, European Criminal Law, International Criminal Law, Criminal Law (Fundamentals and Crimes) desde 2009.</w:t>
            </w:r>
          </w:p>
          <w:p w:rsidR="004E3233" w:rsidRPr="00B70274" w:rsidRDefault="004E3233" w:rsidP="00AB2EA0">
            <w:pPr>
              <w:jc w:val="both"/>
            </w:pPr>
          </w:p>
          <w:p w:rsidR="00E114F4" w:rsidRPr="00B70274" w:rsidRDefault="004E3233" w:rsidP="00AB2EA0">
            <w:pPr>
              <w:jc w:val="both"/>
            </w:pPr>
            <w:r w:rsidRPr="00B70274">
              <w:t xml:space="preserve">Consultora de la </w:t>
            </w:r>
            <w:r w:rsidRPr="00B70274">
              <w:rPr>
                <w:i/>
              </w:rPr>
              <w:t>Conferencia de Ministros de Justicia de Iberoamérica</w:t>
            </w:r>
            <w:r w:rsidRPr="00B70274">
              <w:t xml:space="preserve"> </w:t>
            </w:r>
          </w:p>
          <w:p w:rsidR="00E114F4" w:rsidRPr="00B70274" w:rsidRDefault="004E3233" w:rsidP="00AB2EA0">
            <w:pPr>
              <w:jc w:val="both"/>
            </w:pPr>
            <w:r w:rsidRPr="00B70274">
              <w:t xml:space="preserve">COMJIB para la Reforma del Código </w:t>
            </w:r>
            <w:r w:rsidR="00E114F4" w:rsidRPr="00B70274">
              <w:t>Penal de Honduras (2013-2016).</w:t>
            </w:r>
          </w:p>
          <w:p w:rsidR="00E114F4" w:rsidRPr="00B70274" w:rsidRDefault="00E114F4" w:rsidP="00AB2EA0">
            <w:pPr>
              <w:jc w:val="both"/>
            </w:pPr>
          </w:p>
          <w:p w:rsidR="00E114F4" w:rsidRPr="00B70274" w:rsidRDefault="00E114F4" w:rsidP="00AB2EA0">
            <w:pPr>
              <w:jc w:val="both"/>
            </w:pPr>
            <w:r w:rsidRPr="00B70274">
              <w:t xml:space="preserve">Responsable de Conocimiento e Investigación </w:t>
            </w:r>
            <w:r w:rsidR="004E3233" w:rsidRPr="00B70274">
              <w:rPr>
                <w:i/>
              </w:rPr>
              <w:t>Rodríguez Ramos Abogados</w:t>
            </w:r>
            <w:r w:rsidR="004E3233" w:rsidRPr="00B70274">
              <w:t>, SLP</w:t>
            </w:r>
            <w:r w:rsidRPr="00B70274">
              <w:t xml:space="preserve"> (2009-2013)</w:t>
            </w:r>
          </w:p>
          <w:p w:rsidR="00E114F4" w:rsidRPr="00B70274" w:rsidRDefault="00E114F4" w:rsidP="00AB2EA0">
            <w:pPr>
              <w:jc w:val="both"/>
            </w:pPr>
          </w:p>
          <w:p w:rsidR="001D7F79" w:rsidRPr="00B70274" w:rsidRDefault="00B70274" w:rsidP="00AB2EA0">
            <w:pPr>
              <w:jc w:val="both"/>
            </w:pPr>
            <w:r>
              <w:t>Investigadora postdoctor</w:t>
            </w:r>
            <w:r w:rsidR="00E114F4" w:rsidRPr="00B70274">
              <w:t>al EE.UU 2007-2009</w:t>
            </w:r>
          </w:p>
        </w:tc>
      </w:tr>
    </w:tbl>
    <w:p w:rsidR="00EF2C9D" w:rsidRDefault="00EF2C9D"/>
    <w:sectPr w:rsidR="00EF2C9D" w:rsidSect="001D7F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1CC" w:rsidRDefault="005641CC" w:rsidP="001D7F79">
      <w:pPr>
        <w:spacing w:after="0" w:line="240" w:lineRule="auto"/>
      </w:pPr>
      <w:r>
        <w:separator/>
      </w:r>
    </w:p>
  </w:endnote>
  <w:endnote w:type="continuationSeparator" w:id="0">
    <w:p w:rsidR="005641CC" w:rsidRDefault="005641CC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CC" w:rsidRDefault="005641CC">
    <w:pPr>
      <w:pStyle w:val="Piedepgina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CC" w:rsidRDefault="005641CC">
    <w:pPr>
      <w:pStyle w:val="Piedepgina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CC" w:rsidRDefault="005641CC">
    <w:pPr>
      <w:pStyle w:val="Piedep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1CC" w:rsidRDefault="005641CC" w:rsidP="001D7F79">
      <w:pPr>
        <w:spacing w:after="0" w:line="240" w:lineRule="auto"/>
      </w:pPr>
      <w:r>
        <w:separator/>
      </w:r>
    </w:p>
  </w:footnote>
  <w:footnote w:type="continuationSeparator" w:id="0">
    <w:p w:rsidR="005641CC" w:rsidRDefault="005641CC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CC" w:rsidRDefault="005641CC">
    <w:pPr>
      <w:pStyle w:val="Encabezado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CC" w:rsidRDefault="005641CC" w:rsidP="001D7F79">
    <w:pPr>
      <w:pStyle w:val="Encabezado"/>
      <w:ind w:left="-142"/>
    </w:pPr>
    <w:r w:rsidRPr="001D7F79">
      <w:rPr>
        <w:noProof/>
        <w:lang w:val="es-ES_tradnl" w:eastAsia="es-ES_tradnl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1CC" w:rsidRDefault="005641CC">
    <w:pPr>
      <w:pStyle w:val="Encabezado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1CC" w:rsidRDefault="005641C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B38F9"/>
    <w:rsid w:val="000C1074"/>
    <w:rsid w:val="00111DFA"/>
    <w:rsid w:val="001139AD"/>
    <w:rsid w:val="0012179E"/>
    <w:rsid w:val="00126A29"/>
    <w:rsid w:val="00191B18"/>
    <w:rsid w:val="001A0A7B"/>
    <w:rsid w:val="001B272D"/>
    <w:rsid w:val="001D5804"/>
    <w:rsid w:val="001D7F79"/>
    <w:rsid w:val="002726C7"/>
    <w:rsid w:val="002E0289"/>
    <w:rsid w:val="003A369F"/>
    <w:rsid w:val="003A6A2C"/>
    <w:rsid w:val="003E0D34"/>
    <w:rsid w:val="004D76B6"/>
    <w:rsid w:val="004E3233"/>
    <w:rsid w:val="00506DA3"/>
    <w:rsid w:val="0055671E"/>
    <w:rsid w:val="005641CC"/>
    <w:rsid w:val="00567709"/>
    <w:rsid w:val="005B38F9"/>
    <w:rsid w:val="006A0346"/>
    <w:rsid w:val="006E5F82"/>
    <w:rsid w:val="007579F8"/>
    <w:rsid w:val="00760D07"/>
    <w:rsid w:val="00780D55"/>
    <w:rsid w:val="007E37E4"/>
    <w:rsid w:val="00863858"/>
    <w:rsid w:val="00942B28"/>
    <w:rsid w:val="00974CD4"/>
    <w:rsid w:val="00990AA2"/>
    <w:rsid w:val="00A24F83"/>
    <w:rsid w:val="00A67A9F"/>
    <w:rsid w:val="00AA6974"/>
    <w:rsid w:val="00AB2EA0"/>
    <w:rsid w:val="00B240B5"/>
    <w:rsid w:val="00B32F6A"/>
    <w:rsid w:val="00B70274"/>
    <w:rsid w:val="00BF19DB"/>
    <w:rsid w:val="00C14E32"/>
    <w:rsid w:val="00CA49BF"/>
    <w:rsid w:val="00CC3283"/>
    <w:rsid w:val="00D14793"/>
    <w:rsid w:val="00E114F4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Enfasis">
    <w:name w:val="Emphasis"/>
    <w:basedOn w:val="Fuentedeprrafopredeter"/>
    <w:qFormat/>
    <w:rsid w:val="004E3233"/>
    <w:rPr>
      <w:i/>
      <w:iCs/>
    </w:rPr>
  </w:style>
  <w:style w:type="character" w:customStyle="1" w:styleId="body">
    <w:name w:val="body"/>
    <w:basedOn w:val="Fuentedeprrafopredeter"/>
    <w:rsid w:val="004E3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701</Words>
  <Characters>4000</Characters>
  <Application>Microsoft Macintosh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Amparo Martinez</cp:lastModifiedBy>
  <cp:revision>11</cp:revision>
  <dcterms:created xsi:type="dcterms:W3CDTF">2019-03-29T09:02:00Z</dcterms:created>
  <dcterms:modified xsi:type="dcterms:W3CDTF">2019-03-29T10:28:00Z</dcterms:modified>
</cp:coreProperties>
</file>